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E5" w:rsidRPr="00983DF1" w:rsidRDefault="009B31E5" w:rsidP="009B31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B85370">
        <w:rPr>
          <w:rFonts w:ascii="Times New Roman" w:eastAsia="Times New Roman" w:hAnsi="Times New Roman" w:cs="Times New Roman"/>
          <w:sz w:val="28"/>
          <w:szCs w:val="28"/>
        </w:rPr>
        <w:t xml:space="preserve">                  Приложение к Р</w:t>
      </w:r>
      <w:r>
        <w:rPr>
          <w:rFonts w:ascii="Times New Roman" w:eastAsia="Times New Roman" w:hAnsi="Times New Roman" w:cs="Times New Roman"/>
          <w:sz w:val="28"/>
          <w:szCs w:val="28"/>
        </w:rPr>
        <w:t>аспоряжению</w:t>
      </w:r>
      <w:r w:rsidRPr="00983DF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9B31E5" w:rsidRDefault="009B31E5" w:rsidP="009B31E5">
      <w:pPr>
        <w:autoSpaceDE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C813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C81314">
        <w:rPr>
          <w:rFonts w:ascii="Times New Roman" w:eastAsia="Times New Roman" w:hAnsi="Times New Roman" w:cs="Times New Roman"/>
          <w:sz w:val="28"/>
          <w:szCs w:val="28"/>
        </w:rPr>
        <w:t>Мининского</w:t>
      </w:r>
      <w:proofErr w:type="spellEnd"/>
      <w:r w:rsidR="00C8131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EA6AC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B4944">
        <w:rPr>
          <w:rFonts w:ascii="Times New Roman" w:eastAsia="Times New Roman" w:hAnsi="Times New Roman" w:cs="Times New Roman"/>
          <w:sz w:val="28"/>
          <w:szCs w:val="28"/>
        </w:rPr>
        <w:t>18.02</w:t>
      </w:r>
      <w:r w:rsidR="009A761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B4944">
        <w:rPr>
          <w:rFonts w:ascii="Times New Roman" w:eastAsia="Times New Roman" w:hAnsi="Times New Roman" w:cs="Times New Roman"/>
          <w:sz w:val="28"/>
          <w:szCs w:val="28"/>
        </w:rPr>
        <w:t>5г. № 2/2-06</w:t>
      </w:r>
      <w:r w:rsidR="009A761B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9B31E5" w:rsidRPr="00983DF1" w:rsidRDefault="009B31E5" w:rsidP="009B31E5">
      <w:pPr>
        <w:autoSpaceDE w:val="0"/>
        <w:spacing w:after="0"/>
        <w:ind w:left="4500"/>
        <w:rPr>
          <w:rFonts w:ascii="Times New Roman" w:eastAsia="Times New Roman" w:hAnsi="Times New Roman" w:cs="Times New Roman"/>
          <w:sz w:val="28"/>
          <w:szCs w:val="28"/>
        </w:rPr>
      </w:pPr>
    </w:p>
    <w:p w:rsidR="007E727D" w:rsidRDefault="007E727D" w:rsidP="006922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3EA9" w:rsidRPr="009D1FB0" w:rsidRDefault="00576388" w:rsidP="006922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FB0">
        <w:rPr>
          <w:rFonts w:ascii="Times New Roman" w:hAnsi="Times New Roman" w:cs="Times New Roman"/>
          <w:b/>
          <w:sz w:val="26"/>
          <w:szCs w:val="26"/>
        </w:rPr>
        <w:t>План мероприятий («дорожная карта») по снижению рисков</w:t>
      </w:r>
      <w:r w:rsidR="009B31E5">
        <w:rPr>
          <w:rFonts w:ascii="Times New Roman" w:hAnsi="Times New Roman" w:cs="Times New Roman"/>
          <w:b/>
          <w:sz w:val="26"/>
          <w:szCs w:val="26"/>
        </w:rPr>
        <w:t xml:space="preserve"> нарушений антимонопольного законодательства</w:t>
      </w:r>
      <w:r w:rsidR="00B85370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3B4944">
        <w:rPr>
          <w:rFonts w:ascii="Times New Roman" w:hAnsi="Times New Roman" w:cs="Times New Roman"/>
          <w:b/>
          <w:sz w:val="26"/>
          <w:szCs w:val="26"/>
        </w:rPr>
        <w:t>5</w:t>
      </w:r>
      <w:r w:rsidR="00C81314">
        <w:rPr>
          <w:rFonts w:ascii="Times New Roman" w:hAnsi="Times New Roman" w:cs="Times New Roman"/>
          <w:b/>
          <w:sz w:val="26"/>
          <w:szCs w:val="26"/>
        </w:rPr>
        <w:t>-202</w:t>
      </w:r>
      <w:bookmarkStart w:id="0" w:name="_GoBack"/>
      <w:bookmarkEnd w:id="0"/>
      <w:r w:rsidR="003B4944">
        <w:rPr>
          <w:rFonts w:ascii="Times New Roman" w:hAnsi="Times New Roman" w:cs="Times New Roman"/>
          <w:b/>
          <w:sz w:val="26"/>
          <w:szCs w:val="26"/>
        </w:rPr>
        <w:t>6</w:t>
      </w:r>
      <w:r w:rsidR="00C8131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="00C81314">
        <w:rPr>
          <w:rFonts w:ascii="Times New Roman" w:hAnsi="Times New Roman" w:cs="Times New Roman"/>
          <w:b/>
          <w:sz w:val="26"/>
          <w:szCs w:val="26"/>
        </w:rPr>
        <w:t>гг</w:t>
      </w:r>
      <w:proofErr w:type="spellEnd"/>
      <w:proofErr w:type="gramEnd"/>
    </w:p>
    <w:p w:rsidR="00873EA9" w:rsidRPr="00873EA9" w:rsidRDefault="00B85370" w:rsidP="00873E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543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3"/>
        <w:gridCol w:w="2129"/>
        <w:gridCol w:w="2550"/>
        <w:gridCol w:w="1703"/>
        <w:gridCol w:w="1984"/>
        <w:gridCol w:w="1418"/>
        <w:gridCol w:w="1412"/>
        <w:gridCol w:w="2123"/>
      </w:tblGrid>
      <w:tr w:rsidR="00DD525C" w:rsidRPr="006922D0" w:rsidTr="00C807D0">
        <w:trPr>
          <w:trHeight w:val="1447"/>
          <w:tblHeader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46" w:rsidRPr="00EB10AF" w:rsidRDefault="00A94446" w:rsidP="00873E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4446" w:rsidRPr="00EB10AF" w:rsidRDefault="00A94446" w:rsidP="00873EA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10AF">
              <w:rPr>
                <w:rFonts w:ascii="Times New Roman" w:hAnsi="Times New Roman" w:cs="Times New Roman"/>
                <w:b/>
              </w:rPr>
              <w:t>Комплаенс-риск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46" w:rsidRPr="00EB10AF" w:rsidRDefault="00A94446" w:rsidP="00873E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10AF">
              <w:rPr>
                <w:rFonts w:ascii="Times New Roman" w:hAnsi="Times New Roman" w:cs="Times New Roman"/>
                <w:b/>
              </w:rPr>
              <w:t>Общие меры по минимизации и устранению рисков</w:t>
            </w:r>
            <w:r w:rsidR="00F31642" w:rsidRPr="00EB10AF">
              <w:rPr>
                <w:rFonts w:ascii="Times New Roman" w:hAnsi="Times New Roman" w:cs="Times New Roman"/>
                <w:b/>
              </w:rPr>
              <w:t xml:space="preserve"> (согласно карте риска)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46" w:rsidRPr="00EB10AF" w:rsidRDefault="00A9444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10AF">
              <w:rPr>
                <w:rFonts w:ascii="Times New Roman" w:hAnsi="Times New Roman" w:cs="Times New Roman"/>
                <w:b/>
              </w:rPr>
              <w:t>Предложенные действия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46" w:rsidRPr="00EB10AF" w:rsidRDefault="00A9444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10AF">
              <w:rPr>
                <w:rFonts w:ascii="Times New Roman" w:hAnsi="Times New Roman" w:cs="Times New Roman"/>
                <w:b/>
              </w:rPr>
              <w:t>Необходимые ресурсы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46" w:rsidRPr="00EB10AF" w:rsidRDefault="00A94446" w:rsidP="00EB10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10AF">
              <w:rPr>
                <w:rFonts w:ascii="Times New Roman" w:hAnsi="Times New Roman" w:cs="Times New Roman"/>
                <w:b/>
              </w:rPr>
              <w:t>Распределение ответственности и полномочий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46" w:rsidRPr="00EB10AF" w:rsidRDefault="00A9444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EB10AF">
              <w:rPr>
                <w:rFonts w:ascii="Times New Roman" w:hAnsi="Times New Roman" w:cs="Times New Roman"/>
                <w:b/>
              </w:rPr>
              <w:t>Календар</w:t>
            </w:r>
            <w:r w:rsidR="00C9285C">
              <w:rPr>
                <w:rFonts w:ascii="Times New Roman" w:hAnsi="Times New Roman" w:cs="Times New Roman"/>
                <w:b/>
              </w:rPr>
              <w:t>-</w:t>
            </w:r>
            <w:r w:rsidRPr="00EB10AF"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proofErr w:type="gramEnd"/>
            <w:r w:rsidRPr="00EB10AF">
              <w:rPr>
                <w:rFonts w:ascii="Times New Roman" w:hAnsi="Times New Roman" w:cs="Times New Roman"/>
                <w:b/>
              </w:rPr>
              <w:t xml:space="preserve"> план </w:t>
            </w:r>
            <w:proofErr w:type="spellStart"/>
            <w:r w:rsidRPr="00EB10AF">
              <w:rPr>
                <w:rFonts w:ascii="Times New Roman" w:hAnsi="Times New Roman" w:cs="Times New Roman"/>
                <w:b/>
              </w:rPr>
              <w:t>выполне</w:t>
            </w:r>
            <w:r w:rsidR="00C9285C">
              <w:rPr>
                <w:rFonts w:ascii="Times New Roman" w:hAnsi="Times New Roman" w:cs="Times New Roman"/>
                <w:b/>
              </w:rPr>
              <w:t>-</w:t>
            </w:r>
            <w:r w:rsidRPr="00EB10AF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Pr="00EB10AF">
              <w:rPr>
                <w:rFonts w:ascii="Times New Roman" w:hAnsi="Times New Roman" w:cs="Times New Roman"/>
                <w:b/>
              </w:rPr>
              <w:t xml:space="preserve"> работ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46" w:rsidRPr="00EB10AF" w:rsidRDefault="00A9444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10AF">
              <w:rPr>
                <w:rFonts w:ascii="Times New Roman" w:hAnsi="Times New Roman" w:cs="Times New Roman"/>
                <w:b/>
              </w:rPr>
              <w:t>Критерии качества работы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46" w:rsidRPr="00EB10AF" w:rsidRDefault="00A9444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10AF">
              <w:rPr>
                <w:rFonts w:ascii="Times New Roman" w:hAnsi="Times New Roman" w:cs="Times New Roman"/>
                <w:b/>
              </w:rPr>
              <w:t>Требования к обмену информацией и мониторингу</w:t>
            </w:r>
          </w:p>
        </w:tc>
      </w:tr>
      <w:tr w:rsidR="00EB10AF" w:rsidRPr="009533A2" w:rsidTr="00C807D0">
        <w:trPr>
          <w:trHeight w:val="188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предусмотренное законодательством о контрактной системе ограничение доступа к участию в закупках товаров, работ, услуг для муниципальных нужд, проводимых конкурентными способами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>Периодическое обучение специалистов, осуществляющих закупки товаров, работ, услуг для обеспечения муниципальных нужд;   проведение круглых столов по изменениям законодательства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специалистов, осуществляющих закупки товаров, работ, услуг для обеспечения муниципальных нужд</w:t>
            </w:r>
            <w:r w:rsidR="00D4410D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специалисты по торгам)</w:t>
            </w:r>
            <w:proofErr w:type="gram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;с</w:t>
            </w:r>
            <w:proofErr w:type="gram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амостоятельное изучение специалистами </w:t>
            </w:r>
            <w:r w:rsidR="00D4410D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торгам </w:t>
            </w:r>
            <w:r w:rsidR="00DD525C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положений 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закона от 26.07.2006 №135-ФЗ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8815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 </w:t>
            </w:r>
            <w:r w:rsidR="00D4410D" w:rsidRPr="009533A2">
              <w:rPr>
                <w:rFonts w:ascii="Times New Roman" w:hAnsi="Times New Roman" w:cs="Times New Roman"/>
                <w:sz w:val="20"/>
                <w:szCs w:val="20"/>
              </w:rPr>
              <w:t>по торгам</w:t>
            </w:r>
            <w:r w:rsidR="008815F4">
              <w:rPr>
                <w:rFonts w:ascii="Times New Roman" w:hAnsi="Times New Roman" w:cs="Times New Roman"/>
                <w:sz w:val="20"/>
                <w:szCs w:val="20"/>
              </w:rPr>
              <w:t>; члены единой (закупочной) комиссии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года (постоянно при </w:t>
            </w:r>
            <w:proofErr w:type="spellStart"/>
            <w:proofErr w:type="gram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</w:t>
            </w:r>
            <w:r w:rsidR="003C3339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нии</w:t>
            </w:r>
            <w:proofErr w:type="spellEnd"/>
            <w:proofErr w:type="gram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процедур закупок товаров, работ и услуг)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3C3339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тсутствие нарушений со </w:t>
            </w:r>
            <w:r w:rsidR="00605DC2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стороны </w:t>
            </w:r>
            <w:proofErr w:type="spellStart"/>
            <w:proofErr w:type="gramStart"/>
            <w:r w:rsidR="00605DC2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</w:t>
            </w:r>
            <w:r w:rsidR="003C3339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страции</w:t>
            </w:r>
            <w:proofErr w:type="spellEnd"/>
            <w:proofErr w:type="gramEnd"/>
            <w:r w:rsidR="006115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159C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Мининского</w:t>
            </w:r>
            <w:proofErr w:type="spellEnd"/>
            <w:r w:rsidR="006115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  <w:r w:rsidR="00605DC2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71383"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и ее отраслевых (функциональных) органов, </w:t>
            </w:r>
            <w:r w:rsidR="00605DC2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(далее – Администрация),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сфере закупок товаров, работ и услуг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27D" w:rsidRPr="009533A2" w:rsidRDefault="00D4410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 информацией осуществляет</w:t>
            </w:r>
            <w:r w:rsidR="00DD525C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7E727D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я в порядке, установленном в нормативных правовых акта</w:t>
            </w:r>
            <w:r w:rsidR="00605DC2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х и правовых актах А</w:t>
            </w:r>
            <w:r w:rsidR="00DD525C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</w:t>
            </w:r>
            <w:r w:rsid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E727D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регламентирующих вопросы функционирования антимонопольного </w:t>
            </w:r>
            <w:proofErr w:type="spellStart"/>
            <w:r w:rsidR="007E727D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</w:p>
        </w:tc>
      </w:tr>
      <w:tr w:rsidR="00EB10AF" w:rsidRPr="009533A2" w:rsidTr="00C807D0">
        <w:trPr>
          <w:trHeight w:val="814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3A2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Установление не предусмотренных законом о контрактной системе требований к товарам, работам, услугам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10AF" w:rsidRPr="009533A2" w:rsidTr="00C807D0">
        <w:trPr>
          <w:trHeight w:val="814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3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Включение в состав лотов товаров, работ, услуг, функционально </w:t>
            </w:r>
            <w:r w:rsidRPr="009533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 связанных между собой и предметом закупки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10AF" w:rsidRPr="009533A2" w:rsidTr="00C807D0">
        <w:trPr>
          <w:trHeight w:val="3178"/>
        </w:trPr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Нарушение при осуществлении закупок товаров, работ, услуг для муниципальных нужд путем выбора способа определения поставщика, повлекшее за собой нарушение антимонопольного законодательства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27D" w:rsidRPr="009533A2" w:rsidRDefault="007E727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25C" w:rsidRPr="009533A2" w:rsidTr="00C807D0">
        <w:trPr>
          <w:trHeight w:val="1431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9533A2" w:rsidRDefault="005B1E24" w:rsidP="009533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участнику (участникам) закупки преимущественных условий участия в закупках, а также предоставление ему (им) доступа к информации в приоритетном порядке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9533A2" w:rsidRDefault="005B1E24" w:rsidP="009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>Повышение качества проработки документации о закупке;</w:t>
            </w:r>
          </w:p>
          <w:p w:rsidR="005B1E24" w:rsidRPr="009533A2" w:rsidRDefault="005B1E24" w:rsidP="009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усиление внутреннего </w:t>
            </w:r>
            <w:proofErr w:type="gramStart"/>
            <w:r w:rsidRPr="009533A2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специалистами</w:t>
            </w:r>
            <w:r w:rsidR="00D4410D"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 антимонопольного законодательства, а также законодательства о контрактной системе в сфере закупок </w:t>
            </w:r>
            <w:r w:rsidRPr="0095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для обеспечения муниципальных нужд;    исключение случаев взаимодействия организатора закупки с хозяйствующими субъектами по вопросам предоставления им информации о проведении закупки в приоритетном порядке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9533A2" w:rsidRDefault="005B1E24" w:rsidP="0095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проведения надлежащей экспертизы документации о закупке</w:t>
            </w:r>
            <w:r w:rsidR="00D4410D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усиление </w:t>
            </w: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внутреннего контроля за соблюдением специалистами </w:t>
            </w:r>
            <w:r w:rsidR="00D4410D"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антимонопольного законодательства, а также законодательства о контрактной системе в сфере закупок товаров, работ, услуг для обеспечения муниципальных нужд; 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профилактических мероприятий, в том числе в рамках работы по противодействию коррупции</w:t>
            </w:r>
            <w:r w:rsidR="007E727D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      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своевреме</w:t>
            </w:r>
            <w:r w:rsidR="00127EDD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нного планирования и размещения 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 о закупках в информационно-</w:t>
            </w:r>
            <w:r w:rsidR="003B4CEC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коммуникационной сети Интернет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9533A2" w:rsidRDefault="005B1E24" w:rsidP="0095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Для реализации мер не потребуется </w:t>
            </w:r>
            <w:proofErr w:type="spellStart"/>
            <w:proofErr w:type="gram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</w:t>
            </w:r>
            <w:r w:rsidR="003C3339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трудовых и финансовых ресурсов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9533A2" w:rsidRDefault="00B40D20" w:rsidP="008E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специалисты </w:t>
            </w:r>
            <w:r w:rsidR="008E0C42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Администрации, </w:t>
            </w:r>
            <w:r w:rsidR="008E0C42">
              <w:rPr>
                <w:rFonts w:ascii="Times New Roman" w:hAnsi="Times New Roman" w:cs="Times New Roman"/>
                <w:sz w:val="20"/>
                <w:szCs w:val="20"/>
              </w:rPr>
              <w:t>задействованные в</w:t>
            </w:r>
            <w:r w:rsidR="008E0C42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E0C42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создании</w:t>
            </w:r>
            <w:r w:rsidR="008E0C42" w:rsidRPr="009533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участнику (участникам) закупки преимущественных условий участия в закупках, а также предоставление ему (им) доступа к информации в приоритетном порядке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9533A2" w:rsidRDefault="005B1E24" w:rsidP="0095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9533A2" w:rsidRDefault="005B1E24" w:rsidP="00953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н</w:t>
            </w:r>
            <w:r w:rsidR="003C3339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арушений со стороны </w:t>
            </w:r>
            <w:proofErr w:type="spellStart"/>
            <w:proofErr w:type="gramStart"/>
            <w:r w:rsidR="003C3339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</w:t>
            </w:r>
            <w:r w:rsidR="003C3339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страции</w:t>
            </w:r>
            <w:proofErr w:type="spellEnd"/>
            <w:proofErr w:type="gram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сфере закупок товаров, работ и услуг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9533A2" w:rsidRDefault="005B1E24" w:rsidP="00953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 информацией осуществляется в порядке, установленном в нормативных правовых акта</w:t>
            </w:r>
            <w:r w:rsidR="00D4410D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х и правовых актах А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дминистрации, регламентирующих вопросы функционирования антимонопольного </w:t>
            </w:r>
            <w:proofErr w:type="spell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</w:p>
        </w:tc>
      </w:tr>
      <w:tr w:rsidR="00DD525C" w:rsidRPr="009533A2" w:rsidTr="00C807D0">
        <w:trPr>
          <w:trHeight w:val="42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9533A2" w:rsidRDefault="005B1E24" w:rsidP="009533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Нарушение порядка определения и обоснования начальной (максимальной) цены контракта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9533A2" w:rsidRDefault="005B1E24" w:rsidP="009533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 </w:t>
            </w:r>
            <w:proofErr w:type="gramStart"/>
            <w:r w:rsidRPr="009533A2">
              <w:rPr>
                <w:rFonts w:ascii="Times New Roman" w:hAnsi="Times New Roman" w:cs="Times New Roman"/>
                <w:sz w:val="20"/>
                <w:szCs w:val="20"/>
              </w:rPr>
              <w:t>обучение специалистов</w:t>
            </w:r>
            <w:r w:rsidR="00D4410D"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 по торгам</w:t>
            </w:r>
            <w:proofErr w:type="gramEnd"/>
            <w:r w:rsidRPr="009533A2">
              <w:rPr>
                <w:rFonts w:ascii="Times New Roman" w:hAnsi="Times New Roman" w:cs="Times New Roman"/>
                <w:sz w:val="20"/>
                <w:szCs w:val="20"/>
              </w:rPr>
              <w:t>, проведение круглых столов по изменениям законодательства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9533A2" w:rsidRDefault="005B1E24" w:rsidP="0095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Обучение специалистов, </w:t>
            </w:r>
            <w:r w:rsidR="00A86EC2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по торгам</w:t>
            </w:r>
            <w:proofErr w:type="gram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самостоятельное изучение специалистами  </w:t>
            </w:r>
            <w:r w:rsidR="00A86EC2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 положений Федерального закона от 26.07.2006 №135-ФЗ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9533A2" w:rsidRDefault="005B1E24" w:rsidP="0095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реализации мер не потребуется </w:t>
            </w:r>
            <w:proofErr w:type="spellStart"/>
            <w:proofErr w:type="gram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</w:t>
            </w:r>
            <w:r w:rsidR="003C3339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трудовых и финансовых ресурсов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9533A2" w:rsidRDefault="008E0C42" w:rsidP="0088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B1E24" w:rsidRPr="009533A2">
              <w:rPr>
                <w:rFonts w:ascii="Times New Roman" w:hAnsi="Times New Roman" w:cs="Times New Roman"/>
                <w:sz w:val="20"/>
                <w:szCs w:val="20"/>
              </w:rPr>
              <w:t>пециалисты</w:t>
            </w:r>
            <w:r w:rsidR="00A86EC2"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 по торгам</w:t>
            </w:r>
            <w:r w:rsidR="008815F4">
              <w:rPr>
                <w:rFonts w:ascii="Times New Roman" w:hAnsi="Times New Roman" w:cs="Times New Roman"/>
                <w:sz w:val="20"/>
                <w:szCs w:val="20"/>
              </w:rPr>
              <w:t>, члены единой (закупочной) комиссии.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9533A2" w:rsidRDefault="005B1E24" w:rsidP="0095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9533A2" w:rsidRDefault="005B1E24" w:rsidP="00953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A86EC2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тсутствие нарушений со стороны </w:t>
            </w:r>
            <w:proofErr w:type="spellStart"/>
            <w:proofErr w:type="gramStart"/>
            <w:r w:rsidR="00A86EC2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</w:t>
            </w:r>
            <w:r w:rsidR="003C3339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страции</w:t>
            </w:r>
            <w:proofErr w:type="spellEnd"/>
            <w:proofErr w:type="gram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сфере закупок товаров, работ и услуг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24" w:rsidRPr="009533A2" w:rsidRDefault="005B1E24" w:rsidP="009533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Обмен информацией осуществляется в порядке, установленном в нормативных правовых актах и правовых актах </w:t>
            </w:r>
            <w:r w:rsidR="00A86EC2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дминистрации, регламентирующих вопросы функционирования антимонопольного </w:t>
            </w:r>
            <w:proofErr w:type="spell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</w:p>
        </w:tc>
      </w:tr>
      <w:tr w:rsidR="00EB10AF" w:rsidRPr="009533A2" w:rsidTr="00C807D0">
        <w:trPr>
          <w:trHeight w:val="4028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DD" w:rsidRPr="009533A2" w:rsidRDefault="00EF4ADD" w:rsidP="0095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Нарушение процедуры проведения аукционов (торгов) на право заключения договора аренды (безвозмездного  пользования) муниципального имущества (за исключением земельных участков)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DD" w:rsidRPr="009533A2" w:rsidRDefault="00EF4ADD" w:rsidP="0095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Периодическое </w:t>
            </w:r>
            <w:proofErr w:type="gramStart"/>
            <w:r w:rsidRPr="009533A2">
              <w:rPr>
                <w:rFonts w:ascii="Times New Roman" w:hAnsi="Times New Roman" w:cs="Times New Roman"/>
                <w:sz w:val="20"/>
                <w:szCs w:val="20"/>
              </w:rPr>
              <w:t>обучение специалистов</w:t>
            </w:r>
            <w:r w:rsidR="00A86EC2"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 по торгам</w:t>
            </w:r>
            <w:proofErr w:type="gramEnd"/>
            <w:r w:rsidR="00A86EC2"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r w:rsidR="000E6657"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троль и согласование документов </w:t>
            </w:r>
            <w:proofErr w:type="spellStart"/>
            <w:r w:rsidR="0061159C">
              <w:rPr>
                <w:rFonts w:ascii="Times New Roman" w:hAnsi="Times New Roman" w:cs="Times New Roman"/>
                <w:sz w:val="20"/>
                <w:szCs w:val="20"/>
              </w:rPr>
              <w:t>спейиалистами</w:t>
            </w:r>
            <w:proofErr w:type="spellEnd"/>
            <w:r w:rsidR="00A86EC2"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 отдела</w:t>
            </w:r>
            <w:r w:rsidR="0061159C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земельно-имущественных отношений  </w:t>
            </w:r>
            <w:proofErr w:type="spellStart"/>
            <w:r w:rsidR="0061159C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="0061159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DD" w:rsidRPr="009533A2" w:rsidRDefault="00A86EC2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Обучение специалистов 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DD" w:rsidRPr="009533A2" w:rsidRDefault="00EF4AD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реализации мер не потребуется </w:t>
            </w:r>
            <w:proofErr w:type="spellStart"/>
            <w:proofErr w:type="gram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</w:t>
            </w:r>
            <w:r w:rsidR="00B14206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трудовых и финансовых ресурсов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667" w:rsidRPr="009533A2" w:rsidRDefault="00421667" w:rsidP="0061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4ADD" w:rsidRPr="009533A2" w:rsidRDefault="00B40D20" w:rsidP="008E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специалисты</w:t>
            </w:r>
            <w:r w:rsidR="004F15FF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Администрации, </w:t>
            </w:r>
            <w:r w:rsidR="004F15FF">
              <w:rPr>
                <w:rFonts w:ascii="Times New Roman" w:hAnsi="Times New Roman" w:cs="Times New Roman"/>
                <w:sz w:val="20"/>
                <w:szCs w:val="20"/>
              </w:rPr>
              <w:t xml:space="preserve">задействованные </w:t>
            </w:r>
            <w:r w:rsidR="004F15FF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F15FF"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E0C42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проведении процедуры </w:t>
            </w:r>
            <w:r w:rsidR="008E0C42" w:rsidRPr="009533A2">
              <w:rPr>
                <w:rFonts w:ascii="Times New Roman" w:hAnsi="Times New Roman" w:cs="Times New Roman"/>
                <w:sz w:val="20"/>
                <w:szCs w:val="20"/>
              </w:rPr>
              <w:t>аукционов (торгов) на право заключения договора аренды (безвозмездного  пользования) муниципального имущества (за исключением земельных участков)</w:t>
            </w:r>
            <w:r w:rsidR="008E0C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E0C42" w:rsidRPr="009533A2">
              <w:rPr>
                <w:rFonts w:ascii="Times New Roman" w:hAnsi="Times New Roman" w:cs="Times New Roman"/>
                <w:sz w:val="20"/>
                <w:szCs w:val="20"/>
              </w:rPr>
              <w:t>при оказании муниципальной услуги «Предоставление земельных участков на торгах»</w:t>
            </w:r>
            <w:r w:rsidR="008E0C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E0C42"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 при оказании муниципальной услуги «Предоставление земельных участков </w:t>
            </w:r>
            <w:r w:rsidR="008E0C42" w:rsidRPr="0095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проведения торгов»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DD" w:rsidRPr="009533A2" w:rsidRDefault="00EF4ADD" w:rsidP="0095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DD" w:rsidRPr="009533A2" w:rsidRDefault="00EF4ADD" w:rsidP="0095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B14206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тсутствие нарушений со стороны </w:t>
            </w:r>
            <w:proofErr w:type="spellStart"/>
            <w:proofErr w:type="gramStart"/>
            <w:r w:rsidR="00B14206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</w:t>
            </w:r>
            <w:r w:rsidR="00B14206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страции</w:t>
            </w:r>
            <w:proofErr w:type="spellEnd"/>
            <w:proofErr w:type="gram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сфере закупок товаров, работ и услуг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DD" w:rsidRPr="009533A2" w:rsidRDefault="00EF4AD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 информацией осуществляется в порядке, установленном в нормативных правовых актах и правовых акт</w:t>
            </w:r>
            <w:r w:rsidR="00ED64BA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ах А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дминистрации, регламентирующих вопросы функционирования антимонопольного </w:t>
            </w:r>
            <w:proofErr w:type="spell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</w:p>
        </w:tc>
      </w:tr>
      <w:tr w:rsidR="00EB10AF" w:rsidRPr="009533A2" w:rsidTr="00C807D0">
        <w:trPr>
          <w:trHeight w:val="1052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DD" w:rsidRPr="009533A2" w:rsidRDefault="00EF4ADD" w:rsidP="0095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>Нарушение антимонопольного законодательства при оказании муниципальной услуги «Предоставление земельных участков на торгах»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DD" w:rsidRPr="009533A2" w:rsidRDefault="00EF4ADD" w:rsidP="0095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DD" w:rsidRPr="009533A2" w:rsidRDefault="00EF4AD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DD" w:rsidRPr="009533A2" w:rsidRDefault="00EF4AD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DD" w:rsidRPr="009533A2" w:rsidRDefault="00EF4AD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DD" w:rsidRPr="009533A2" w:rsidRDefault="00EF4AD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DD" w:rsidRPr="009533A2" w:rsidRDefault="00EF4AD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DD" w:rsidRPr="009533A2" w:rsidRDefault="00EF4AD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10AF" w:rsidRPr="009533A2" w:rsidTr="00C807D0">
        <w:trPr>
          <w:trHeight w:val="2972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DD" w:rsidRPr="009533A2" w:rsidRDefault="00EF4ADD" w:rsidP="0095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Нарушение антимонопольного законодательства при оказании муниципальной услуги «Предоставление земельных участков без проведения торгов»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DD" w:rsidRPr="009533A2" w:rsidRDefault="00EF4ADD" w:rsidP="0095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DD" w:rsidRPr="009533A2" w:rsidRDefault="00EF4AD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DD" w:rsidRPr="009533A2" w:rsidRDefault="00EF4AD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DD" w:rsidRPr="009533A2" w:rsidRDefault="00EF4AD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DD" w:rsidRPr="009533A2" w:rsidRDefault="00EF4AD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DD" w:rsidRPr="009533A2" w:rsidRDefault="00EF4AD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DD" w:rsidRPr="009533A2" w:rsidRDefault="00EF4ADD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25C" w:rsidRPr="009533A2" w:rsidTr="00C807D0">
        <w:trPr>
          <w:trHeight w:val="1006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5C" w:rsidRPr="009533A2" w:rsidRDefault="00DD525C" w:rsidP="0095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соглашения, которое может привести к ограничению, устранению или недопущению конкуренции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</w:tcPr>
          <w:p w:rsidR="00DD525C" w:rsidRPr="009533A2" w:rsidRDefault="00DD525C" w:rsidP="0095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у специалистов </w:t>
            </w:r>
            <w:r w:rsidR="00E502EC"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ED64BA" w:rsidRPr="009533A2">
              <w:rPr>
                <w:rFonts w:ascii="Times New Roman" w:hAnsi="Times New Roman" w:cs="Times New Roman"/>
                <w:sz w:val="20"/>
                <w:szCs w:val="20"/>
              </w:rPr>
              <w:t>по торгам</w:t>
            </w: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 в части знаний антимонопольного законодательства; усиление внутреннего </w:t>
            </w:r>
            <w:proofErr w:type="gramStart"/>
            <w:r w:rsidRPr="009533A2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специалистами</w:t>
            </w:r>
            <w:r w:rsidR="00CA6EBA"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="0095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64BA" w:rsidRPr="009533A2">
              <w:rPr>
                <w:rFonts w:ascii="Times New Roman" w:hAnsi="Times New Roman" w:cs="Times New Roman"/>
                <w:sz w:val="20"/>
                <w:szCs w:val="20"/>
              </w:rPr>
              <w:t>по торгам</w:t>
            </w:r>
            <w:r w:rsidR="0095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>антимонопольного законодательства</w:t>
            </w:r>
          </w:p>
        </w:tc>
        <w:tc>
          <w:tcPr>
            <w:tcW w:w="825" w:type="pct"/>
            <w:tcBorders>
              <w:left w:val="single" w:sz="4" w:space="0" w:color="auto"/>
              <w:right w:val="single" w:sz="4" w:space="0" w:color="auto"/>
            </w:tcBorders>
          </w:tcPr>
          <w:p w:rsidR="00DD525C" w:rsidRPr="009533A2" w:rsidRDefault="00DD525C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обучающег</w:t>
            </w:r>
            <w:r w:rsidR="00ED64BA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о мероприятия для специалистов А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дминистрации по вопросам функционирования антимонопольного </w:t>
            </w:r>
            <w:proofErr w:type="spell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соблюдения требований антимонопольного законодательства;  усиление </w:t>
            </w: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внутреннего </w:t>
            </w:r>
            <w:proofErr w:type="gramStart"/>
            <w:r w:rsidRPr="009533A2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специалистами </w:t>
            </w:r>
            <w:r w:rsidR="00ED64BA"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по торгам </w:t>
            </w: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>антимонопольного законодательства</w:t>
            </w: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</w:tcPr>
          <w:p w:rsidR="00DD525C" w:rsidRPr="009533A2" w:rsidRDefault="00DD525C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реализации мер не потребуется </w:t>
            </w:r>
            <w:proofErr w:type="spellStart"/>
            <w:proofErr w:type="gramStart"/>
            <w:r w:rsidR="00B14206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дополнитель-ных</w:t>
            </w:r>
            <w:proofErr w:type="spellEnd"/>
            <w:proofErr w:type="gram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трудовых и финансовых ресурсов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</w:tcPr>
          <w:p w:rsidR="00DD525C" w:rsidRPr="009533A2" w:rsidRDefault="00B40D20" w:rsidP="00B40D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специалисты </w:t>
            </w:r>
            <w:r w:rsidR="004F15FF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Администрации, </w:t>
            </w:r>
            <w:r w:rsidR="004F15FF">
              <w:rPr>
                <w:rFonts w:ascii="Times New Roman" w:hAnsi="Times New Roman" w:cs="Times New Roman"/>
                <w:sz w:val="20"/>
                <w:szCs w:val="20"/>
              </w:rPr>
              <w:t xml:space="preserve">задействованные при заключении </w:t>
            </w:r>
            <w:r w:rsidR="004F15FF" w:rsidRPr="009533A2">
              <w:rPr>
                <w:rFonts w:ascii="Times New Roman" w:hAnsi="Times New Roman" w:cs="Times New Roman"/>
                <w:sz w:val="20"/>
                <w:szCs w:val="20"/>
              </w:rPr>
              <w:t>соглашения, которое может привести к ограничению, устранению или недопущению конкуренции</w:t>
            </w:r>
            <w:r w:rsidR="004F15FF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:rsidR="00DD525C" w:rsidRPr="009533A2" w:rsidRDefault="0061159C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</w:tcPr>
          <w:p w:rsidR="00DD525C" w:rsidRPr="009533A2" w:rsidRDefault="00C807D0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Отсутствие </w:t>
            </w:r>
            <w:proofErr w:type="spellStart"/>
            <w:proofErr w:type="gram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заключен-ных</w:t>
            </w:r>
            <w:proofErr w:type="spellEnd"/>
            <w:proofErr w:type="gramEnd"/>
            <w:r w:rsid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502EC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Администрацией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соглашений, в которых риски нару</w:t>
            </w:r>
            <w:r w:rsid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шения </w:t>
            </w:r>
            <w:proofErr w:type="spellStart"/>
            <w:r w:rsid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антимоно-польногозаконода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выявлены </w:t>
            </w:r>
            <w:proofErr w:type="spell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антимоно-польныморганом</w:t>
            </w:r>
            <w:proofErr w:type="spellEnd"/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</w:tcPr>
          <w:p w:rsidR="00DD525C" w:rsidRPr="009533A2" w:rsidRDefault="00DD525C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 информацией осуществляется в порядке, установленном в нормативных п</w:t>
            </w:r>
            <w:r w:rsidR="009F087C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равовых актах и правовых актах А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дминистрации, регламентирующих вопросы функционирования антимонопольного </w:t>
            </w:r>
            <w:proofErr w:type="spell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</w:p>
        </w:tc>
      </w:tr>
      <w:tr w:rsidR="00DD525C" w:rsidRPr="009533A2" w:rsidTr="00C807D0">
        <w:trPr>
          <w:trHeight w:val="413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5C" w:rsidRPr="009533A2" w:rsidRDefault="00DD525C" w:rsidP="0095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</w:t>
            </w:r>
            <w:r w:rsidRPr="0095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преференций антимонопольного законодательства при предоставлении места размещения нестационарного торгового объекта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5C" w:rsidRPr="009533A2" w:rsidRDefault="00DD525C" w:rsidP="0095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Периодическое </w:t>
            </w:r>
            <w:proofErr w:type="gramStart"/>
            <w:r w:rsidRPr="0095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 специалистов</w:t>
            </w:r>
            <w:r w:rsidR="009F087C"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 по торгам</w:t>
            </w:r>
            <w:proofErr w:type="gramEnd"/>
            <w:r w:rsidR="009F087C" w:rsidRPr="009533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            контроль и согласование документов </w:t>
            </w:r>
            <w:r w:rsidR="0061159C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специалистами </w:t>
            </w:r>
            <w:r w:rsidR="0061159C" w:rsidRPr="009533A2"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  <w:r w:rsidR="0061159C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земельно-имущественных отношений  </w:t>
            </w:r>
            <w:proofErr w:type="spellStart"/>
            <w:r w:rsidR="0061159C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="0061159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5C" w:rsidRPr="009533A2" w:rsidRDefault="00DD525C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Обучение специалистов, 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осуществляющих закупки товаров, работ, услуг для обеспечения муниципальных нужд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5C" w:rsidRPr="009533A2" w:rsidRDefault="00DD525C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Для реализации 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мер не потребуется </w:t>
            </w:r>
            <w:proofErr w:type="spellStart"/>
            <w:proofErr w:type="gram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</w:t>
            </w:r>
            <w:r w:rsidR="00DF4518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трудовых и финансовых ресурсов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5C" w:rsidRPr="009533A2" w:rsidRDefault="009533A2" w:rsidP="0061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B40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 специалисты</w:t>
            </w:r>
            <w:r w:rsidR="004F15FF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F15FF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Администрации, </w:t>
            </w:r>
            <w:r w:rsidR="004F15FF">
              <w:rPr>
                <w:rFonts w:ascii="Times New Roman" w:hAnsi="Times New Roman" w:cs="Times New Roman"/>
                <w:sz w:val="20"/>
                <w:szCs w:val="20"/>
              </w:rPr>
              <w:t>задействованные в</w:t>
            </w:r>
            <w:r w:rsidR="004F15FF"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15FF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4F15FF"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 преференций антимонопольного законодательства при предоставлении места размещения нестационарного торгового объекта</w:t>
            </w:r>
            <w:r w:rsidR="004F1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5C" w:rsidRPr="009533A2" w:rsidRDefault="00DD525C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течение 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года (постоянно при </w:t>
            </w:r>
            <w:proofErr w:type="spellStart"/>
            <w:proofErr w:type="gram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</w:t>
            </w:r>
            <w:r w:rsidR="00DF4518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нии</w:t>
            </w:r>
            <w:proofErr w:type="spellEnd"/>
            <w:proofErr w:type="gram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процедур закупок товаров, работ и услуг)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5C" w:rsidRPr="009533A2" w:rsidRDefault="00DD525C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Отсутствие 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нару</w:t>
            </w:r>
            <w:r w:rsidR="00B14206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шений со стороны </w:t>
            </w:r>
            <w:proofErr w:type="spellStart"/>
            <w:proofErr w:type="gramStart"/>
            <w:r w:rsidR="00B14206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</w:t>
            </w:r>
            <w:r w:rsidR="00B14206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страции</w:t>
            </w:r>
            <w:proofErr w:type="spellEnd"/>
            <w:proofErr w:type="gram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сфере закупок товаров, работ и услуг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5C" w:rsidRPr="009533A2" w:rsidRDefault="00DD525C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Обмен информацией 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осуществляется в порядке, установленном в нормативных правовых актах и правовых актах </w:t>
            </w:r>
            <w:r w:rsidR="009F087C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дминистрации, регламентирующих вопросы функционирования антимонопольного </w:t>
            </w:r>
            <w:proofErr w:type="spell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</w:p>
        </w:tc>
      </w:tr>
      <w:tr w:rsidR="00DD525C" w:rsidRPr="009533A2" w:rsidTr="00C807D0">
        <w:trPr>
          <w:trHeight w:val="413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5C" w:rsidRPr="009533A2" w:rsidRDefault="00DD525C" w:rsidP="0095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и принятие нормативных правовых актов,</w:t>
            </w:r>
            <w:r w:rsidR="0095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которых могут привести к ограничению, устранению или недопущению конкуренции, в том числе посредством установления в порядках предоставления субсидий критериев отбора их </w:t>
            </w:r>
            <w:r w:rsidRPr="0095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получателей, которые могут привести к ограничению или устранению конкуренции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5C" w:rsidRPr="009533A2" w:rsidRDefault="00DD525C" w:rsidP="0095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Более де</w:t>
            </w:r>
            <w:r w:rsidR="009F087C" w:rsidRPr="009533A2">
              <w:rPr>
                <w:rFonts w:ascii="Times New Roman" w:hAnsi="Times New Roman" w:cs="Times New Roman"/>
                <w:sz w:val="20"/>
                <w:szCs w:val="20"/>
              </w:rPr>
              <w:t>тальное изучение специалистами А</w:t>
            </w: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положений антимонопольного законодательства; усиление внутреннего контроля за проведением разработчиками проектов нормативных правовых актов оценки соответствия их положений </w:t>
            </w:r>
            <w:r w:rsidRPr="0095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 антимонопольного законодательства; р</w:t>
            </w:r>
            <w:r w:rsidR="009F087C" w:rsidRPr="009533A2">
              <w:rPr>
                <w:rFonts w:ascii="Times New Roman" w:hAnsi="Times New Roman" w:cs="Times New Roman"/>
                <w:sz w:val="20"/>
                <w:szCs w:val="20"/>
              </w:rPr>
              <w:t>азмещение специалистами А</w:t>
            </w: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>дминистрации разработанных им</w:t>
            </w:r>
            <w:r w:rsidR="009F087C" w:rsidRPr="009533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</w:t>
            </w:r>
            <w:r w:rsidR="00F82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>нормативных правовых актов на официальном сайте</w:t>
            </w:r>
            <w:r w:rsidR="00F82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87C" w:rsidRPr="009533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>дминистрации в сети Интернет в целях обеспечения оценки их влияния на развитие конкуренции гражданами и организациями;</w:t>
            </w:r>
            <w:proofErr w:type="gramEnd"/>
            <w:r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 повышен</w:t>
            </w:r>
            <w:r w:rsidR="009F087C" w:rsidRPr="009533A2">
              <w:rPr>
                <w:rFonts w:ascii="Times New Roman" w:hAnsi="Times New Roman" w:cs="Times New Roman"/>
                <w:sz w:val="20"/>
                <w:szCs w:val="20"/>
              </w:rPr>
              <w:t>ие квалификации у специалистов А</w:t>
            </w: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>дминистрации в части знаний антимонопольного законодательства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5C" w:rsidRPr="009533A2" w:rsidRDefault="00DD525C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Самостоя</w:t>
            </w:r>
            <w:r w:rsidR="009F087C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тельное изучение специалистами А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  положений Федерального закона от 26.07.2006 №135-ФЗ «О защите конкуренции»; самостоя</w:t>
            </w:r>
            <w:r w:rsidR="009F087C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тельное изучение специалистами А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дминистрации  </w:t>
            </w:r>
            <w:proofErr w:type="spell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антиконкурентных</w:t>
            </w:r>
            <w:proofErr w:type="spell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региональных практик, </w:t>
            </w:r>
            <w:r w:rsidR="00D17549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осуществление проверки соответствия требованиям антимонопольного</w:t>
            </w:r>
            <w:r w:rsid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законодательства проектов 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нормативных правовых актов на всех стадиях согла</w:t>
            </w:r>
            <w:r w:rsidR="009F087C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сования данных проектов внутри А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дминистрации;     контроль со стороны непосредственного руководителя структурного подразделения за соблюдением специалистами </w:t>
            </w:r>
            <w:proofErr w:type="spellStart"/>
            <w:proofErr w:type="gramStart"/>
            <w:r w:rsidR="009F087C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дминистрации-разработчиками</w:t>
            </w:r>
            <w:proofErr w:type="spellEnd"/>
            <w:proofErr w:type="gram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проектов нормативных правовых актов требования разм</w:t>
            </w:r>
            <w:r w:rsidR="009F087C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ещения их на официальном сайте А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 в сети Интернет в целях обеспечения оценки их влияния на развитие конкуренции</w:t>
            </w:r>
            <w:r w:rsidR="00D17549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гражданами и организациями;  проведение обучающег</w:t>
            </w:r>
            <w:r w:rsidR="009F087C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о мероприятия для специалистов А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дминистрации по вопросам 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функционирования антимонопольного законодательства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5C" w:rsidRPr="009533A2" w:rsidRDefault="00DD525C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Для реализации мер не потребуется </w:t>
            </w:r>
            <w:proofErr w:type="spellStart"/>
            <w:proofErr w:type="gram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</w:t>
            </w:r>
            <w:r w:rsidR="00B14206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трудовых и финансовых ресурсов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5C" w:rsidRPr="009533A2" w:rsidRDefault="00B40D20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специалисты</w:t>
            </w:r>
            <w:r w:rsidR="009F087C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r w:rsidR="00DD525C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дминистрации, участвующие в процессе разработки и согласования проектов нормативных правовых актов; руководи</w:t>
            </w:r>
            <w:r w:rsidR="009F087C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тели структурных подразделений Администрации / специалисты А</w:t>
            </w:r>
            <w:r w:rsidR="00DD525C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дминистрации – разработчики </w:t>
            </w:r>
            <w:r w:rsidR="00DD525C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проектов нормативных правовых актов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5C" w:rsidRPr="009533A2" w:rsidRDefault="00DD525C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течение года (постоянно при разработке проектов </w:t>
            </w:r>
            <w:proofErr w:type="spell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</w:t>
            </w:r>
            <w:r w:rsidR="00B14206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ныхправовых</w:t>
            </w:r>
            <w:proofErr w:type="spell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актов)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5C" w:rsidRPr="009533A2" w:rsidRDefault="00DD525C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Отсутствие </w:t>
            </w:r>
            <w:proofErr w:type="spellStart"/>
            <w:proofErr w:type="gram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заключен-</w:t>
            </w:r>
            <w:r w:rsidR="009F087C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="009F087C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дминистрацией соглашений, в которых риски нарушения </w:t>
            </w:r>
            <w:proofErr w:type="spell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антимоно-польногозаконода-тельства</w:t>
            </w:r>
            <w:proofErr w:type="spell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выявлены </w:t>
            </w:r>
            <w:proofErr w:type="spell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антимоно-польным</w:t>
            </w:r>
            <w:proofErr w:type="spell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органом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5C" w:rsidRPr="009533A2" w:rsidRDefault="00DD525C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Обмен информацией осуществляется в порядке, установленном в нормативных правовых актах и правовых актах </w:t>
            </w:r>
            <w:r w:rsidR="009F087C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дминистрации, регламентирующих вопросы функционирования антимонопольного </w:t>
            </w:r>
            <w:proofErr w:type="spell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</w:p>
        </w:tc>
      </w:tr>
      <w:tr w:rsidR="00C807D0" w:rsidRPr="009533A2" w:rsidTr="00C807D0">
        <w:trPr>
          <w:trHeight w:val="413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D0" w:rsidRPr="009533A2" w:rsidRDefault="00C807D0" w:rsidP="0095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обратившимся гражданам или юридическим лицам информации в приоритетном порядке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D0" w:rsidRPr="009533A2" w:rsidRDefault="00C807D0" w:rsidP="0095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>Усиление внутреннего контроля; повышение уровня квалификации  у специалистов Администрации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D0" w:rsidRPr="009533A2" w:rsidRDefault="00C807D0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Усиление внутреннего </w:t>
            </w:r>
            <w:proofErr w:type="gramStart"/>
            <w:r w:rsidRPr="009533A2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="00D17549"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>соблюдением специалистами Администрации антимонопольного законодательства</w:t>
            </w:r>
            <w:r w:rsidR="00605DC2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;  обучение специалистов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D0" w:rsidRPr="009533A2" w:rsidRDefault="00C807D0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реализации мер не потребуется </w:t>
            </w:r>
            <w:proofErr w:type="spellStart"/>
            <w:proofErr w:type="gram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дополнитель-ных</w:t>
            </w:r>
            <w:proofErr w:type="spellEnd"/>
            <w:proofErr w:type="gram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трудовых и финансовых ресурсов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D0" w:rsidRPr="009533A2" w:rsidRDefault="00B40D20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 специалисты </w:t>
            </w:r>
            <w:r w:rsidR="004F15FF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Администрации, </w:t>
            </w:r>
            <w:r w:rsidR="004F15FF">
              <w:rPr>
                <w:rFonts w:ascii="Times New Roman" w:hAnsi="Times New Roman" w:cs="Times New Roman"/>
                <w:sz w:val="20"/>
                <w:szCs w:val="20"/>
              </w:rPr>
              <w:t xml:space="preserve">задействованные </w:t>
            </w:r>
            <w:r w:rsidR="004F15FF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F15FF">
              <w:rPr>
                <w:rFonts w:ascii="Times New Roman" w:hAnsi="Times New Roman" w:cs="Times New Roman"/>
                <w:sz w:val="20"/>
                <w:szCs w:val="20"/>
              </w:rPr>
              <w:t>в предоставлении</w:t>
            </w:r>
            <w:r w:rsidR="004F15FF"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 обратившимся гражданам или юридическим лицам информации в приоритетном порядке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D0" w:rsidRPr="009533A2" w:rsidRDefault="00C807D0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года (постоянно при разработке проектов </w:t>
            </w:r>
            <w:proofErr w:type="spellStart"/>
            <w:proofErr w:type="gram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норматив-ных</w:t>
            </w:r>
            <w:proofErr w:type="spellEnd"/>
            <w:proofErr w:type="gram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правовых актов)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D0" w:rsidRPr="009533A2" w:rsidRDefault="00C807D0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Отсутствие </w:t>
            </w:r>
            <w:proofErr w:type="spellStart"/>
            <w:proofErr w:type="gram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заключен-ных</w:t>
            </w:r>
            <w:proofErr w:type="spellEnd"/>
            <w:proofErr w:type="gram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Администрацией соглашений, в которых риски нару</w:t>
            </w:r>
            <w:r w:rsidR="00F82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шения </w:t>
            </w:r>
            <w:proofErr w:type="spellStart"/>
            <w:r w:rsidR="00F823F4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антимоно-польногозаконода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выявлены </w:t>
            </w:r>
            <w:proofErr w:type="spell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антимоно-польным</w:t>
            </w:r>
            <w:proofErr w:type="spell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органом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D0" w:rsidRPr="009533A2" w:rsidRDefault="00C807D0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Обмен информацией осуществляется в порядке, установленном в нормативных правовых актах и правовых актах Администрации, регламентирующих вопросы функционирования антимонопольного </w:t>
            </w:r>
            <w:proofErr w:type="spell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</w:p>
        </w:tc>
      </w:tr>
      <w:tr w:rsidR="00C807D0" w:rsidRPr="009533A2" w:rsidTr="00C807D0">
        <w:trPr>
          <w:trHeight w:val="2392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D0" w:rsidRPr="009533A2" w:rsidRDefault="00C807D0" w:rsidP="0095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>Нарушение процедуры в проведен</w:t>
            </w:r>
            <w:proofErr w:type="gramStart"/>
            <w:r w:rsidRPr="009533A2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кционов (торгов) по приватизации муниципального имущества;  организация проведения торгов </w:t>
            </w:r>
            <w:r w:rsidRPr="0095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(аукционов) по продаже земельных участков и имущества, находящихся в собственности </w:t>
            </w:r>
            <w:r w:rsidR="008815F4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="008815F4">
              <w:rPr>
                <w:rFonts w:ascii="Times New Roman" w:hAnsi="Times New Roman" w:cs="Times New Roman"/>
                <w:sz w:val="20"/>
                <w:szCs w:val="20"/>
              </w:rPr>
              <w:t>Мининский</w:t>
            </w:r>
            <w:proofErr w:type="spellEnd"/>
            <w:r w:rsidR="008815F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D0" w:rsidRPr="009533A2" w:rsidRDefault="00C807D0" w:rsidP="0095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 со стороны руководителей структурных подразделений, задействованных в проведен</w:t>
            </w:r>
            <w:proofErr w:type="gramStart"/>
            <w:r w:rsidRPr="009533A2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кционов (торгов); повышение уровня квалификации у </w:t>
            </w:r>
            <w:r w:rsidRPr="0095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специалистов</w:t>
            </w:r>
            <w:r w:rsidR="0095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>Администрации в части знаний антимонопольного законодательства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D0" w:rsidRPr="009533A2" w:rsidRDefault="00C807D0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Усиление </w:t>
            </w: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внутреннего </w:t>
            </w:r>
            <w:proofErr w:type="gramStart"/>
            <w:r w:rsidRPr="009533A2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специалистами Администрации антимонопольного законодательства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D0" w:rsidRPr="009533A2" w:rsidRDefault="00C807D0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реализации мер не потребуется </w:t>
            </w:r>
            <w:proofErr w:type="spellStart"/>
            <w:proofErr w:type="gram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дополнитель-ных</w:t>
            </w:r>
            <w:proofErr w:type="spellEnd"/>
            <w:proofErr w:type="gram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трудовых и финансовых ресурсов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D0" w:rsidRPr="009533A2" w:rsidRDefault="00B40D20" w:rsidP="004F15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специалисты</w:t>
            </w:r>
            <w:r w:rsidR="004F15FF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Администрации, </w:t>
            </w:r>
            <w:r w:rsidR="004F15FF">
              <w:rPr>
                <w:rFonts w:ascii="Times New Roman" w:hAnsi="Times New Roman" w:cs="Times New Roman"/>
                <w:sz w:val="20"/>
                <w:szCs w:val="20"/>
              </w:rPr>
              <w:t xml:space="preserve">задействованные </w:t>
            </w:r>
            <w:r w:rsidR="004F15FF"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F15FF" w:rsidRPr="009533A2">
              <w:rPr>
                <w:rFonts w:ascii="Times New Roman" w:hAnsi="Times New Roman" w:cs="Times New Roman"/>
                <w:sz w:val="20"/>
                <w:szCs w:val="20"/>
              </w:rPr>
              <w:t>в проведен</w:t>
            </w:r>
            <w:proofErr w:type="gramStart"/>
            <w:r w:rsidR="004F15FF" w:rsidRPr="009533A2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="004F15FF" w:rsidRPr="009533A2">
              <w:rPr>
                <w:rFonts w:ascii="Times New Roman" w:hAnsi="Times New Roman" w:cs="Times New Roman"/>
                <w:sz w:val="20"/>
                <w:szCs w:val="20"/>
              </w:rPr>
              <w:t>кционов (торгов) по приватизации муниципального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95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проведения торгов (аукционов) по продаже земельных участков и имущества, находящихся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незаконном оказании муниципальной услуги, принятии</w:t>
            </w:r>
            <w:r w:rsidRPr="009533A2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необоснованных решений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D0" w:rsidRPr="009533A2" w:rsidRDefault="00C807D0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течение года (постоянно при разработке проектов </w:t>
            </w:r>
            <w:proofErr w:type="spellStart"/>
            <w:proofErr w:type="gram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норматив-ных</w:t>
            </w:r>
            <w:proofErr w:type="spellEnd"/>
            <w:proofErr w:type="gram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правовых 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актов)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D0" w:rsidRPr="009533A2" w:rsidRDefault="00C807D0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Отсутствие нарушений со стороны </w:t>
            </w:r>
            <w:proofErr w:type="spellStart"/>
            <w:proofErr w:type="gram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Админи-страции</w:t>
            </w:r>
            <w:proofErr w:type="spellEnd"/>
            <w:proofErr w:type="gramEnd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сфере закупок товаров, 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 и услуг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D0" w:rsidRPr="009533A2" w:rsidRDefault="00C807D0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Обмен информацией осуществляется в порядке, установленном в нормативных правовых актах и правовых актах Администрации, регламентирующих </w:t>
            </w:r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вопросы функционирования антимонопольного </w:t>
            </w:r>
            <w:proofErr w:type="spellStart"/>
            <w:r w:rsidRPr="009533A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комплаенса</w:t>
            </w:r>
            <w:proofErr w:type="spellEnd"/>
          </w:p>
        </w:tc>
      </w:tr>
      <w:tr w:rsidR="00C807D0" w:rsidRPr="009533A2" w:rsidTr="00C807D0">
        <w:trPr>
          <w:trHeight w:val="185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D0" w:rsidRPr="009533A2" w:rsidRDefault="00C807D0" w:rsidP="0095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Незаконное оказание муниципальной услуги, принятие необоснованных решений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7D0" w:rsidRPr="009533A2" w:rsidRDefault="00C807D0" w:rsidP="0095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7D0" w:rsidRPr="009533A2" w:rsidRDefault="00C807D0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7D0" w:rsidRPr="009533A2" w:rsidRDefault="00C807D0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7D0" w:rsidRPr="009533A2" w:rsidRDefault="00C807D0" w:rsidP="0095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7D0" w:rsidRPr="009533A2" w:rsidRDefault="00C807D0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7D0" w:rsidRPr="009533A2" w:rsidRDefault="00C807D0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7D0" w:rsidRPr="009533A2" w:rsidRDefault="00C807D0" w:rsidP="009533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22D0" w:rsidRPr="009533A2" w:rsidRDefault="006922D0" w:rsidP="009533A2">
      <w:pPr>
        <w:tabs>
          <w:tab w:val="left" w:pos="3268"/>
        </w:tabs>
        <w:jc w:val="center"/>
        <w:rPr>
          <w:rFonts w:ascii="Times New Roman" w:hAnsi="Times New Roman" w:cs="Times New Roman"/>
          <w:sz w:val="20"/>
          <w:szCs w:val="20"/>
        </w:rPr>
      </w:pPr>
    </w:p>
    <w:sectPr w:rsidR="006922D0" w:rsidRPr="009533A2" w:rsidSect="00071383">
      <w:headerReference w:type="default" r:id="rId7"/>
      <w:headerReference w:type="first" r:id="rId8"/>
      <w:pgSz w:w="16838" w:h="11906" w:orient="landscape"/>
      <w:pgMar w:top="23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A39" w:rsidRDefault="00F43A39" w:rsidP="006D2C6C">
      <w:pPr>
        <w:spacing w:after="0" w:line="240" w:lineRule="auto"/>
      </w:pPr>
      <w:r>
        <w:separator/>
      </w:r>
    </w:p>
  </w:endnote>
  <w:endnote w:type="continuationSeparator" w:id="0">
    <w:p w:rsidR="00F43A39" w:rsidRDefault="00F43A39" w:rsidP="006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A39" w:rsidRDefault="00F43A39" w:rsidP="006D2C6C">
      <w:pPr>
        <w:spacing w:after="0" w:line="240" w:lineRule="auto"/>
      </w:pPr>
      <w:r>
        <w:separator/>
      </w:r>
    </w:p>
  </w:footnote>
  <w:footnote w:type="continuationSeparator" w:id="0">
    <w:p w:rsidR="00F43A39" w:rsidRDefault="00F43A39" w:rsidP="006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1A" w:rsidRDefault="00EA111A" w:rsidP="00EA111A">
    <w:pPr>
      <w:pStyle w:val="a4"/>
      <w:tabs>
        <w:tab w:val="clear" w:pos="4677"/>
        <w:tab w:val="clear" w:pos="9355"/>
        <w:tab w:val="left" w:pos="6123"/>
      </w:tabs>
    </w:pPr>
  </w:p>
  <w:p w:rsidR="00EA111A" w:rsidRDefault="00EA111A" w:rsidP="00EA111A">
    <w:pPr>
      <w:pStyle w:val="a4"/>
      <w:tabs>
        <w:tab w:val="clear" w:pos="4677"/>
        <w:tab w:val="clear" w:pos="9355"/>
        <w:tab w:val="left" w:pos="6123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83" w:rsidRDefault="00071383">
    <w:pPr>
      <w:pStyle w:val="a4"/>
      <w:jc w:val="center"/>
    </w:pPr>
  </w:p>
  <w:p w:rsidR="00071383" w:rsidRDefault="0007138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6388"/>
    <w:rsid w:val="00026C60"/>
    <w:rsid w:val="0003451A"/>
    <w:rsid w:val="00050DA1"/>
    <w:rsid w:val="00071383"/>
    <w:rsid w:val="000B7B3F"/>
    <w:rsid w:val="000E2FA5"/>
    <w:rsid w:val="000E6657"/>
    <w:rsid w:val="00127EDD"/>
    <w:rsid w:val="00136CAE"/>
    <w:rsid w:val="0014260C"/>
    <w:rsid w:val="001745CC"/>
    <w:rsid w:val="001844EC"/>
    <w:rsid w:val="001845B2"/>
    <w:rsid w:val="001864DA"/>
    <w:rsid w:val="001A1321"/>
    <w:rsid w:val="001D3247"/>
    <w:rsid w:val="001E6BDD"/>
    <w:rsid w:val="001F0512"/>
    <w:rsid w:val="00223860"/>
    <w:rsid w:val="0023204D"/>
    <w:rsid w:val="00234B49"/>
    <w:rsid w:val="00235B9F"/>
    <w:rsid w:val="00240B5E"/>
    <w:rsid w:val="002542AA"/>
    <w:rsid w:val="0025539D"/>
    <w:rsid w:val="00257290"/>
    <w:rsid w:val="00265FD5"/>
    <w:rsid w:val="0029112B"/>
    <w:rsid w:val="002E26F9"/>
    <w:rsid w:val="002F1D1F"/>
    <w:rsid w:val="00305AD7"/>
    <w:rsid w:val="00305F13"/>
    <w:rsid w:val="003176C3"/>
    <w:rsid w:val="00355733"/>
    <w:rsid w:val="00386721"/>
    <w:rsid w:val="003B4944"/>
    <w:rsid w:val="003B4CEC"/>
    <w:rsid w:val="003C2222"/>
    <w:rsid w:val="003C3339"/>
    <w:rsid w:val="003D214F"/>
    <w:rsid w:val="00400923"/>
    <w:rsid w:val="00421667"/>
    <w:rsid w:val="0044076F"/>
    <w:rsid w:val="00480927"/>
    <w:rsid w:val="00481982"/>
    <w:rsid w:val="004B151F"/>
    <w:rsid w:val="004B249F"/>
    <w:rsid w:val="004D3317"/>
    <w:rsid w:val="004E4CBC"/>
    <w:rsid w:val="004E4DD5"/>
    <w:rsid w:val="004E6306"/>
    <w:rsid w:val="004F15FF"/>
    <w:rsid w:val="00516DEA"/>
    <w:rsid w:val="00545E21"/>
    <w:rsid w:val="0055708C"/>
    <w:rsid w:val="00557807"/>
    <w:rsid w:val="00576388"/>
    <w:rsid w:val="005B1E24"/>
    <w:rsid w:val="005B5442"/>
    <w:rsid w:val="005C25E5"/>
    <w:rsid w:val="005D320D"/>
    <w:rsid w:val="005F4ED0"/>
    <w:rsid w:val="00603334"/>
    <w:rsid w:val="006035F9"/>
    <w:rsid w:val="00605DC2"/>
    <w:rsid w:val="0060717D"/>
    <w:rsid w:val="0061159C"/>
    <w:rsid w:val="00631067"/>
    <w:rsid w:val="00643321"/>
    <w:rsid w:val="006651EF"/>
    <w:rsid w:val="00672E49"/>
    <w:rsid w:val="00686F91"/>
    <w:rsid w:val="0068763D"/>
    <w:rsid w:val="006922D0"/>
    <w:rsid w:val="006D1431"/>
    <w:rsid w:val="006D2C6C"/>
    <w:rsid w:val="006E29A2"/>
    <w:rsid w:val="006E7C6B"/>
    <w:rsid w:val="007256F3"/>
    <w:rsid w:val="007307CE"/>
    <w:rsid w:val="007605FC"/>
    <w:rsid w:val="00767EA3"/>
    <w:rsid w:val="00770D81"/>
    <w:rsid w:val="00780B21"/>
    <w:rsid w:val="00794807"/>
    <w:rsid w:val="007A16A6"/>
    <w:rsid w:val="007B68B8"/>
    <w:rsid w:val="007D549E"/>
    <w:rsid w:val="007E727D"/>
    <w:rsid w:val="008029B3"/>
    <w:rsid w:val="00817E70"/>
    <w:rsid w:val="00822C01"/>
    <w:rsid w:val="00851D56"/>
    <w:rsid w:val="00873EA9"/>
    <w:rsid w:val="00874EC0"/>
    <w:rsid w:val="008815F4"/>
    <w:rsid w:val="008864FD"/>
    <w:rsid w:val="008A426E"/>
    <w:rsid w:val="008B43D0"/>
    <w:rsid w:val="008B5588"/>
    <w:rsid w:val="008E0C42"/>
    <w:rsid w:val="008E3A82"/>
    <w:rsid w:val="008E427A"/>
    <w:rsid w:val="008F5228"/>
    <w:rsid w:val="00917872"/>
    <w:rsid w:val="00923209"/>
    <w:rsid w:val="009356A9"/>
    <w:rsid w:val="009360F6"/>
    <w:rsid w:val="00950660"/>
    <w:rsid w:val="009508FD"/>
    <w:rsid w:val="009533A2"/>
    <w:rsid w:val="00971943"/>
    <w:rsid w:val="009A1F62"/>
    <w:rsid w:val="009A761B"/>
    <w:rsid w:val="009B31E5"/>
    <w:rsid w:val="009B71F7"/>
    <w:rsid w:val="009C02B7"/>
    <w:rsid w:val="009C48D6"/>
    <w:rsid w:val="009D1FB0"/>
    <w:rsid w:val="009E2F24"/>
    <w:rsid w:val="009F087C"/>
    <w:rsid w:val="00A23EFB"/>
    <w:rsid w:val="00A84930"/>
    <w:rsid w:val="00A86EC2"/>
    <w:rsid w:val="00A876F1"/>
    <w:rsid w:val="00A94446"/>
    <w:rsid w:val="00AB03FB"/>
    <w:rsid w:val="00AB22D0"/>
    <w:rsid w:val="00AB78AC"/>
    <w:rsid w:val="00AB7C39"/>
    <w:rsid w:val="00AD19BC"/>
    <w:rsid w:val="00B065AB"/>
    <w:rsid w:val="00B14206"/>
    <w:rsid w:val="00B40D20"/>
    <w:rsid w:val="00B47325"/>
    <w:rsid w:val="00B57378"/>
    <w:rsid w:val="00B8179A"/>
    <w:rsid w:val="00B85370"/>
    <w:rsid w:val="00BD466D"/>
    <w:rsid w:val="00BE1CB9"/>
    <w:rsid w:val="00C03528"/>
    <w:rsid w:val="00C07C71"/>
    <w:rsid w:val="00C14EB6"/>
    <w:rsid w:val="00C357CC"/>
    <w:rsid w:val="00C4270F"/>
    <w:rsid w:val="00C44147"/>
    <w:rsid w:val="00C50CD3"/>
    <w:rsid w:val="00C54BE4"/>
    <w:rsid w:val="00C5602E"/>
    <w:rsid w:val="00C7112D"/>
    <w:rsid w:val="00C807D0"/>
    <w:rsid w:val="00C81314"/>
    <w:rsid w:val="00C9285C"/>
    <w:rsid w:val="00C93072"/>
    <w:rsid w:val="00CA3B1A"/>
    <w:rsid w:val="00CA6EBA"/>
    <w:rsid w:val="00CB44FC"/>
    <w:rsid w:val="00CC3E1D"/>
    <w:rsid w:val="00CE6BC1"/>
    <w:rsid w:val="00D01188"/>
    <w:rsid w:val="00D17549"/>
    <w:rsid w:val="00D23856"/>
    <w:rsid w:val="00D246BF"/>
    <w:rsid w:val="00D306CE"/>
    <w:rsid w:val="00D330A9"/>
    <w:rsid w:val="00D33CED"/>
    <w:rsid w:val="00D4410D"/>
    <w:rsid w:val="00D90FDA"/>
    <w:rsid w:val="00DA0BB6"/>
    <w:rsid w:val="00DD1CFD"/>
    <w:rsid w:val="00DD525C"/>
    <w:rsid w:val="00DE3FCC"/>
    <w:rsid w:val="00DF4518"/>
    <w:rsid w:val="00E1047F"/>
    <w:rsid w:val="00E161F5"/>
    <w:rsid w:val="00E446DA"/>
    <w:rsid w:val="00E502EC"/>
    <w:rsid w:val="00E757C1"/>
    <w:rsid w:val="00E90357"/>
    <w:rsid w:val="00E977FD"/>
    <w:rsid w:val="00EA111A"/>
    <w:rsid w:val="00EA6AC6"/>
    <w:rsid w:val="00EB10AF"/>
    <w:rsid w:val="00ED64BA"/>
    <w:rsid w:val="00ED7A71"/>
    <w:rsid w:val="00EE211A"/>
    <w:rsid w:val="00EF47BA"/>
    <w:rsid w:val="00EF4ADD"/>
    <w:rsid w:val="00F03656"/>
    <w:rsid w:val="00F109DB"/>
    <w:rsid w:val="00F254A9"/>
    <w:rsid w:val="00F31642"/>
    <w:rsid w:val="00F40C20"/>
    <w:rsid w:val="00F43A39"/>
    <w:rsid w:val="00F451C5"/>
    <w:rsid w:val="00F51A5A"/>
    <w:rsid w:val="00F53F21"/>
    <w:rsid w:val="00F67223"/>
    <w:rsid w:val="00F74F2D"/>
    <w:rsid w:val="00F823F4"/>
    <w:rsid w:val="00FA4375"/>
    <w:rsid w:val="00FB6642"/>
    <w:rsid w:val="00FE58DE"/>
    <w:rsid w:val="00FE6D1A"/>
    <w:rsid w:val="00FF4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0F"/>
  </w:style>
  <w:style w:type="paragraph" w:styleId="1">
    <w:name w:val="heading 1"/>
    <w:basedOn w:val="a"/>
    <w:next w:val="a"/>
    <w:link w:val="10"/>
    <w:qFormat/>
    <w:rsid w:val="006D2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C6C"/>
  </w:style>
  <w:style w:type="paragraph" w:styleId="a6">
    <w:name w:val="footer"/>
    <w:basedOn w:val="a"/>
    <w:link w:val="a7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C6C"/>
  </w:style>
  <w:style w:type="character" w:customStyle="1" w:styleId="10">
    <w:name w:val="Заголовок 1 Знак"/>
    <w:basedOn w:val="a0"/>
    <w:link w:val="1"/>
    <w:rsid w:val="006D2C6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ConsPlusNormal">
    <w:name w:val="ConsPlusNormal"/>
    <w:rsid w:val="006D2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C6C"/>
  </w:style>
  <w:style w:type="paragraph" w:styleId="a6">
    <w:name w:val="footer"/>
    <w:basedOn w:val="a"/>
    <w:link w:val="a7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C6C"/>
  </w:style>
  <w:style w:type="character" w:customStyle="1" w:styleId="10">
    <w:name w:val="Заголовок 1 Знак"/>
    <w:basedOn w:val="a0"/>
    <w:link w:val="1"/>
    <w:rsid w:val="006D2C6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ConsPlusNormal">
    <w:name w:val="ConsPlusNormal"/>
    <w:rsid w:val="006D2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FFA5D-A5A6-4368-922E-242753E4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Anna</cp:lastModifiedBy>
  <cp:revision>4</cp:revision>
  <cp:lastPrinted>2025-02-24T04:11:00Z</cp:lastPrinted>
  <dcterms:created xsi:type="dcterms:W3CDTF">2025-02-18T02:41:00Z</dcterms:created>
  <dcterms:modified xsi:type="dcterms:W3CDTF">2025-02-24T04:11:00Z</dcterms:modified>
</cp:coreProperties>
</file>